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eastAsia="宋体"/>
          <w:b/>
          <w:sz w:val="28"/>
          <w:szCs w:val="28"/>
          <w:lang w:val="en-US" w:eastAsia="zh-CN"/>
        </w:rPr>
        <w:t xml:space="preserve">31       </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R3-260389</w:t>
      </w:r>
      <w:r>
        <w:rPr>
          <w:rFonts w:ascii="Times New Roman" w:hAnsi="Times New Roman" w:eastAsia="宋体"/>
          <w:b/>
          <w:sz w:val="28"/>
          <w:szCs w:val="28"/>
          <w:lang w:eastAsia="en-GB"/>
        </w:rPr>
        <w:t xml:space="preserve">  </w:t>
      </w:r>
    </w:p>
    <w:p>
      <w:pPr>
        <w:pStyle w:val="72"/>
        <w:rPr>
          <w:rFonts w:hint="default" w:ascii="Times New Roman" w:hAnsi="Times New Roman" w:eastAsia="宋体" w:cs="Times New Roman"/>
          <w:b/>
          <w:sz w:val="28"/>
          <w:szCs w:val="28"/>
          <w:lang w:val="pt-PT" w:eastAsia="en-GB" w:bidi="ar-SA"/>
        </w:rPr>
      </w:pPr>
      <w:r>
        <w:rPr>
          <w:rFonts w:hint="default" w:ascii="Times New Roman" w:hAnsi="Times New Roman" w:eastAsia="宋体" w:cs="Times New Roman"/>
          <w:b/>
          <w:sz w:val="28"/>
          <w:szCs w:val="28"/>
          <w:lang w:val="pt-PT" w:eastAsia="en-GB" w:bidi="ar-SA"/>
        </w:rPr>
        <w:t>Goteborg, Sweden, 9-13 Feb, 2026</w:t>
      </w:r>
    </w:p>
    <w:p>
      <w:pPr>
        <w:pStyle w:val="72"/>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hint="eastAsia" w:ascii="Times New Roman" w:hAnsi="Times New Roman" w:eastAsia="宋体"/>
          <w:b/>
          <w:bCs/>
          <w:sz w:val="24"/>
          <w:lang w:val="en-US" w:eastAsia="zh-CN"/>
        </w:rPr>
        <w:t>1</w:t>
      </w:r>
      <w:r>
        <w:rPr>
          <w:rFonts w:ascii="Times New Roman" w:hAnsi="Times New Roman"/>
          <w:b/>
          <w:bCs/>
          <w:sz w:val="24"/>
          <w:lang w:val="pt-PT"/>
        </w:rPr>
        <w:t>.2</w:t>
      </w:r>
      <w:r>
        <w:rPr>
          <w:rFonts w:hint="eastAsia" w:ascii="Times New Roman" w:hAnsi="Times New Roman" w:eastAsia="宋体"/>
          <w:b/>
          <w:bCs/>
          <w:sz w:val="24"/>
          <w:lang w:val="en-US" w:eastAsia="zh-CN"/>
        </w:rPr>
        <w:t>.1</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rFonts w:hint="default" w:eastAsiaTheme="minorEastAsia"/>
          <w:b/>
          <w:bCs/>
          <w:sz w:val="32"/>
          <w:lang w:val="en-US"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r>
        <w:rPr>
          <w:rFonts w:hint="eastAsia"/>
          <w:b/>
          <w:bCs/>
          <w:sz w:val="24"/>
          <w:lang w:val="en-US" w:eastAsia="zh-CN"/>
        </w:rPr>
        <w:t>for inter-CU LTM</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3"/>
      </w:pPr>
      <w:r>
        <w:t>1</w:t>
      </w:r>
      <w:r>
        <w:tab/>
      </w:r>
      <w:r>
        <w:t>Introduction</w:t>
      </w:r>
    </w:p>
    <w:p>
      <w:pPr>
        <w:spacing w:after="0"/>
        <w:rPr>
          <w:sz w:val="21"/>
          <w:szCs w:val="21"/>
        </w:rPr>
      </w:pPr>
      <w:r>
        <w:rPr>
          <w:sz w:val="21"/>
          <w:szCs w:val="21"/>
        </w:rPr>
        <w:t>At RAN#10</w:t>
      </w:r>
      <w:r>
        <w:rPr>
          <w:rFonts w:hint="eastAsia"/>
          <w:sz w:val="21"/>
          <w:szCs w:val="21"/>
          <w:lang w:val="en-US" w:eastAsia="zh-CN"/>
        </w:rPr>
        <w:t>8</w:t>
      </w:r>
      <w:r>
        <w:rPr>
          <w:sz w:val="21"/>
          <w:szCs w:val="21"/>
        </w:rPr>
        <w:t>, the new Work Item on</w:t>
      </w:r>
      <w:r>
        <w:rPr>
          <w:rFonts w:hint="eastAsia"/>
          <w:sz w:val="21"/>
          <w:szCs w:val="21"/>
          <w:lang w:val="en-US" w:eastAsia="zh-CN"/>
        </w:rPr>
        <w:t xml:space="preserve"> Data collection for SON (Self-Organising Networks)/MDT (Minimization of Drive Tests) in NR Phase 5</w:t>
      </w:r>
      <w:r>
        <w:rPr>
          <w:sz w:val="21"/>
          <w:szCs w:val="21"/>
          <w:lang w:val="en-US" w:eastAsia="zh-CN"/>
        </w:rPr>
        <w:t xml:space="preserve"> </w:t>
      </w:r>
      <w:r>
        <w:rPr>
          <w:sz w:val="21"/>
          <w:szCs w:val="21"/>
        </w:rPr>
        <w:t xml:space="preserve">was agreed </w:t>
      </w:r>
      <w:r>
        <w:rPr>
          <w:rFonts w:hint="eastAsia"/>
          <w:sz w:val="21"/>
          <w:szCs w:val="21"/>
          <w:lang w:val="en-US" w:eastAsia="zh-CN"/>
        </w:rPr>
        <w:t>and the WID was revised at RAN#109 in</w:t>
      </w:r>
      <w:r>
        <w:rPr>
          <w:sz w:val="21"/>
          <w:szCs w:val="21"/>
        </w:rPr>
        <w:t>[1] introduc</w:t>
      </w:r>
      <w:r>
        <w:rPr>
          <w:rFonts w:hint="eastAsia"/>
          <w:sz w:val="21"/>
          <w:szCs w:val="21"/>
          <w:lang w:val="en-US" w:eastAsia="zh-CN"/>
        </w:rPr>
        <w:t>ing</w:t>
      </w:r>
      <w:r>
        <w:rPr>
          <w:sz w:val="21"/>
          <w:szCs w:val="21"/>
        </w:rPr>
        <w:t xml:space="preserve"> the following objectives in the core part: </w:t>
      </w:r>
    </w:p>
    <w:p>
      <w:pPr>
        <w:spacing w:after="0"/>
        <w:rPr>
          <w:sz w:val="21"/>
          <w:szCs w:val="21"/>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1"/>
                <w:szCs w:val="21"/>
              </w:rPr>
            </w:pPr>
            <w:bookmarkStart w:id="0" w:name="OLE_LINK35"/>
            <w:r>
              <w:rPr>
                <w:rFonts w:eastAsia="宋体"/>
                <w:sz w:val="21"/>
                <w:szCs w:val="21"/>
              </w:rPr>
              <w:t xml:space="preserve">The objective of this work item is to specify </w:t>
            </w:r>
            <w:r>
              <w:rPr>
                <w:rFonts w:hint="eastAsia" w:eastAsia="宋体"/>
                <w:sz w:val="21"/>
                <w:szCs w:val="21"/>
              </w:rPr>
              <w:t xml:space="preserve">data collection enhancement in NR </w:t>
            </w:r>
            <w:r>
              <w:rPr>
                <w:rFonts w:eastAsia="宋体"/>
                <w:sz w:val="21"/>
                <w:szCs w:val="21"/>
              </w:rPr>
              <w:t>standalone for SON/MDT purpose</w:t>
            </w:r>
            <w:r>
              <w:rPr>
                <w:rFonts w:hint="eastAsia" w:eastAsia="宋体"/>
                <w:sz w:val="21"/>
                <w:szCs w:val="21"/>
              </w:rPr>
              <w:t xml:space="preserve">. </w:t>
            </w:r>
            <w:r>
              <w:rPr>
                <w:rFonts w:eastAsia="宋体"/>
                <w:sz w:val="21"/>
                <w:szCs w:val="21"/>
              </w:rPr>
              <w:t>The specific objectives of this work item are:</w:t>
            </w:r>
          </w:p>
          <w:p>
            <w:pPr>
              <w:spacing w:before="120" w:line="280" w:lineRule="atLeast"/>
              <w:rPr>
                <w:rFonts w:eastAsia="宋体"/>
                <w:sz w:val="21"/>
                <w:szCs w:val="21"/>
              </w:rPr>
            </w:pPr>
            <w:bookmarkStart w:id="1" w:name="OLE_LINK31"/>
            <w:bookmarkStart w:id="2" w:name="OLE_LINK17"/>
            <w:r>
              <w:rPr>
                <w:rFonts w:eastAsia="宋体"/>
                <w:sz w:val="21"/>
                <w:szCs w:val="21"/>
              </w:rPr>
              <w:t>- MRO enhancement for R1</w:t>
            </w:r>
            <w:r>
              <w:rPr>
                <w:rFonts w:hint="eastAsia" w:eastAsia="宋体"/>
                <w:sz w:val="21"/>
                <w:szCs w:val="21"/>
              </w:rPr>
              <w:t>9</w:t>
            </w:r>
            <w:r>
              <w:rPr>
                <w:rFonts w:eastAsia="宋体"/>
                <w:sz w:val="21"/>
                <w:szCs w:val="21"/>
              </w:rPr>
              <w:t xml:space="preserve"> mobility mechanisms, including</w:t>
            </w:r>
            <w:r>
              <w:rPr>
                <w:rFonts w:hint="eastAsia"/>
                <w:sz w:val="21"/>
                <w:szCs w:val="21"/>
              </w:rPr>
              <w:t xml:space="preserve"> </w:t>
            </w:r>
            <w:r>
              <w:rPr>
                <w:rFonts w:hint="eastAsia" w:eastAsia="宋体"/>
                <w:sz w:val="21"/>
                <w:szCs w:val="21"/>
              </w:rPr>
              <w:t>inter-CU LTM and intra-CU conditional LTM</w:t>
            </w:r>
            <w:r>
              <w:rPr>
                <w:rFonts w:eastAsia="宋体"/>
                <w:sz w:val="21"/>
                <w:szCs w:val="21"/>
              </w:rPr>
              <w:t xml:space="preserve"> [RAN3, RAN2]:</w:t>
            </w:r>
          </w:p>
          <w:p>
            <w:pPr>
              <w:pStyle w:val="73"/>
              <w:numPr>
                <w:ilvl w:val="0"/>
                <w:numId w:val="4"/>
              </w:numPr>
              <w:spacing w:before="120" w:line="280" w:lineRule="atLeast"/>
              <w:rPr>
                <w:rFonts w:ascii="Times New Roman" w:hAnsi="Times New Roman" w:eastAsia="宋体" w:cs="Times New Roman"/>
                <w:sz w:val="21"/>
                <w:szCs w:val="21"/>
              </w:rPr>
            </w:pPr>
            <w:r>
              <w:rPr>
                <w:rFonts w:ascii="Times New Roman" w:hAnsi="Times New Roman" w:eastAsia="宋体" w:cs="Times New Roman"/>
                <w:sz w:val="21"/>
                <w:szCs w:val="21"/>
              </w:rPr>
              <w:t xml:space="preserve">Specification of the inter-node information exchange, including possible enhancements </w:t>
            </w:r>
            <w:r>
              <w:rPr>
                <w:rFonts w:hint="eastAsia" w:ascii="Times New Roman" w:hAnsi="Times New Roman" w:eastAsia="宋体" w:cs="Times New Roman"/>
                <w:sz w:val="21"/>
                <w:szCs w:val="21"/>
              </w:rPr>
              <w:t>on the existing</w:t>
            </w:r>
            <w:r>
              <w:rPr>
                <w:rFonts w:ascii="Times New Roman" w:hAnsi="Times New Roman" w:eastAsia="宋体" w:cs="Times New Roman"/>
                <w:sz w:val="21"/>
                <w:szCs w:val="21"/>
              </w:rPr>
              <w:t xml:space="preserve"> interfaces [RAN3]</w:t>
            </w:r>
          </w:p>
          <w:p>
            <w:pPr>
              <w:pStyle w:val="73"/>
              <w:numPr>
                <w:ilvl w:val="0"/>
                <w:numId w:val="4"/>
              </w:numPr>
              <w:spacing w:before="120" w:line="280" w:lineRule="atLeast"/>
              <w:rPr>
                <w:rFonts w:ascii="Times New Roman" w:hAnsi="Times New Roman" w:eastAsia="宋体" w:cs="Times New Roman"/>
                <w:sz w:val="21"/>
                <w:szCs w:val="21"/>
              </w:rPr>
            </w:pPr>
            <w:r>
              <w:rPr>
                <w:rFonts w:hint="eastAsia" w:ascii="Times New Roman" w:hAnsi="Times New Roman" w:eastAsia="宋体" w:cs="Times New Roman"/>
                <w:sz w:val="21"/>
                <w:szCs w:val="21"/>
              </w:rPr>
              <w:t>Identify and specify necessary UE reporting to enhance the mobility parameter tuning</w:t>
            </w:r>
            <w:r>
              <w:rPr>
                <w:rFonts w:ascii="Times New Roman" w:hAnsi="Times New Roman" w:eastAsia="宋体" w:cs="Times New Roman"/>
                <w:sz w:val="21"/>
                <w:szCs w:val="21"/>
              </w:rPr>
              <w:t> [RAN2]</w:t>
            </w:r>
          </w:p>
          <w:bookmarkEnd w:id="1"/>
          <w:bookmarkEnd w:id="2"/>
          <w:p>
            <w:pPr>
              <w:spacing w:before="120" w:line="280" w:lineRule="atLeast"/>
              <w:rPr>
                <w:rFonts w:eastAsia="宋体"/>
                <w:sz w:val="21"/>
                <w:szCs w:val="21"/>
              </w:rPr>
            </w:pPr>
            <w:r>
              <w:rPr>
                <w:rFonts w:eastAsia="宋体"/>
                <w:sz w:val="21"/>
                <w:szCs w:val="21"/>
              </w:rPr>
              <w:t>If needed, co-operate with RAN1, SA5.</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w:t>
      </w:r>
      <w:r>
        <w:rPr>
          <w:rFonts w:hint="eastAsia"/>
          <w:sz w:val="22"/>
          <w:lang w:val="en-US" w:eastAsia="zh-CN"/>
        </w:rPr>
        <w:t>20</w:t>
      </w:r>
      <w:r>
        <w:rPr>
          <w:sz w:val="22"/>
          <w:lang w:eastAsia="zh-CN"/>
        </w:rPr>
        <w:t>.</w:t>
      </w:r>
    </w:p>
    <w:p>
      <w:pPr>
        <w:spacing w:after="0"/>
      </w:pPr>
    </w:p>
    <w:p>
      <w:pPr>
        <w:pStyle w:val="3"/>
      </w:pPr>
      <w:r>
        <w:t>2</w:t>
      </w:r>
      <w:r>
        <w:tab/>
      </w:r>
      <w:r>
        <w:t>Discussion</w:t>
      </w:r>
    </w:p>
    <w:p>
      <w:pPr>
        <w:pStyle w:val="4"/>
      </w:pPr>
      <w:r>
        <w:t>2.1</w:t>
      </w:r>
      <w:r>
        <w:tab/>
      </w:r>
      <w:r>
        <w:rPr>
          <w:rFonts w:hint="eastAsia"/>
          <w:lang w:val="en-US" w:eastAsia="zh-CN"/>
        </w:rPr>
        <w:t xml:space="preserve">MRO for inter-CU </w:t>
      </w:r>
      <w:r>
        <w:t>LTM</w:t>
      </w:r>
    </w:p>
    <w:p>
      <w:pPr>
        <w:spacing w:after="0"/>
        <w:rPr>
          <w:sz w:val="22"/>
          <w:lang w:val="en-US" w:eastAsia="zh-CN"/>
        </w:rPr>
      </w:pPr>
    </w:p>
    <w:p>
      <w:pPr>
        <w:pStyle w:val="2"/>
        <w:rPr>
          <w:rFonts w:hint="default" w:eastAsia="宋体"/>
          <w:sz w:val="24"/>
          <w:szCs w:val="24"/>
          <w:u w:val="none"/>
          <w:lang w:val="en-US" w:eastAsia="zh-CN"/>
        </w:rPr>
      </w:pPr>
      <w:r>
        <w:rPr>
          <w:rFonts w:hint="eastAsia" w:cs="Calibri"/>
          <w:sz w:val="28"/>
          <w:szCs w:val="28"/>
          <w:u w:val="none"/>
          <w:lang w:val="en-US" w:eastAsia="zh-CN"/>
        </w:rPr>
        <w:t>2.1.1  BFR shortly after successful LTM cell switch</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spacing w:line="276" w:lineRule="auto"/>
              <w:ind w:left="144" w:hanging="144"/>
              <w:rPr>
                <w:rFonts w:cs="Calibri"/>
                <w:b/>
                <w:color w:val="008000"/>
                <w:lang w:eastAsia="en-US"/>
              </w:rPr>
            </w:pPr>
            <w:r>
              <w:rPr>
                <w:rFonts w:cs="Calibri"/>
                <w:b/>
                <w:color w:val="008000"/>
                <w:lang w:eastAsia="en-US"/>
              </w:rPr>
              <w:t>The target gNB shall indicate the recovery beam info and Source gNB UE XnAP ID to source gNB via XnAP ACCESS AND MOBILITY INDICATION message.</w:t>
            </w:r>
          </w:p>
          <w:p>
            <w:pPr>
              <w:widowControl w:val="0"/>
              <w:spacing w:line="276" w:lineRule="auto"/>
              <w:ind w:left="144" w:hanging="144"/>
              <w:rPr>
                <w:rFonts w:cs="Calibri"/>
                <w:b/>
                <w:bCs/>
                <w:color w:val="FF0000"/>
                <w:lang w:eastAsia="en-US"/>
              </w:rPr>
            </w:pPr>
            <w:r>
              <w:rPr>
                <w:rFonts w:cs="Calibri"/>
                <w:b/>
                <w:bCs/>
                <w:color w:val="FF0000"/>
                <w:lang w:eastAsia="en-US"/>
              </w:rPr>
              <w:t>RAN3 assumes that source CU/DU will still have UE-associated MRO information when receiving the information about BFR shortly after successful LTM cell switch.</w:t>
            </w:r>
          </w:p>
          <w:p>
            <w:pPr>
              <w:widowControl w:val="0"/>
              <w:spacing w:line="276" w:lineRule="auto"/>
              <w:ind w:left="144" w:hanging="144"/>
              <w:rPr>
                <w:rFonts w:cs="Calibri"/>
                <w:b/>
                <w:color w:val="0000FF"/>
                <w:lang w:eastAsia="en-US"/>
              </w:rPr>
            </w:pPr>
            <w:r>
              <w:rPr>
                <w:rFonts w:cs="Calibri"/>
                <w:b/>
                <w:color w:val="0000FF"/>
                <w:lang w:eastAsia="en-US"/>
              </w:rPr>
              <w:t>Impact of L1 or L3-triggered LTM?</w:t>
            </w:r>
          </w:p>
          <w:p>
            <w:pPr>
              <w:widowControl w:val="0"/>
              <w:spacing w:line="276" w:lineRule="auto"/>
              <w:ind w:left="144" w:hanging="144"/>
              <w:rPr>
                <w:rFonts w:hint="eastAsia" w:cs="Calibri"/>
                <w:sz w:val="28"/>
                <w:szCs w:val="28"/>
                <w:u w:val="none"/>
                <w:vertAlign w:val="baseline"/>
                <w:lang w:val="en-US" w:eastAsia="zh-CN"/>
              </w:rPr>
            </w:pPr>
            <w:r>
              <w:rPr>
                <w:rFonts w:cs="Calibri"/>
                <w:b/>
                <w:color w:val="0000FF"/>
                <w:lang w:eastAsia="en-US"/>
              </w:rPr>
              <w:t>FFS on the content of the recovery beam info.</w:t>
            </w:r>
          </w:p>
        </w:tc>
      </w:tr>
    </w:tbl>
    <w:p>
      <w:pPr>
        <w:pStyle w:val="2"/>
        <w:rPr>
          <w:rFonts w:hint="eastAsia" w:cs="Calibri"/>
          <w:sz w:val="28"/>
          <w:szCs w:val="28"/>
          <w:u w:val="none"/>
          <w:lang w:val="en-US" w:eastAsia="zh-CN"/>
        </w:rPr>
      </w:pPr>
    </w:p>
    <w:p>
      <w:pPr>
        <w:pStyle w:val="2"/>
        <w:rPr>
          <w:rFonts w:hint="eastAsia"/>
          <w:sz w:val="22"/>
          <w:szCs w:val="22"/>
          <w:lang w:val="en-US" w:eastAsia="zh-CN"/>
        </w:rPr>
      </w:pPr>
      <w:r>
        <w:rPr>
          <w:rFonts w:hint="eastAsia"/>
          <w:sz w:val="22"/>
          <w:szCs w:val="22"/>
          <w:lang w:val="en-US" w:eastAsia="zh-CN"/>
        </w:rPr>
        <w:t>Previously, MRO for intra-CU LTM, target DU sends the SSB index of the recovery beam to CU over F1. Here for inter-CU LTM, same approach can be adopted as agreed in last meeting.</w:t>
      </w:r>
    </w:p>
    <w:p>
      <w:pPr>
        <w:pStyle w:val="2"/>
        <w:rPr>
          <w:rFonts w:hint="eastAsia"/>
          <w:sz w:val="22"/>
          <w:szCs w:val="22"/>
          <w:lang w:val="en-US" w:eastAsia="zh-CN"/>
        </w:rPr>
      </w:pPr>
    </w:p>
    <w:p>
      <w:pPr>
        <w:pStyle w:val="2"/>
        <w:rPr>
          <w:rFonts w:hint="eastAsia"/>
          <w:sz w:val="22"/>
          <w:szCs w:val="22"/>
          <w:lang w:val="en-US" w:eastAsia="zh-CN"/>
        </w:rPr>
      </w:pPr>
      <w:r>
        <w:rPr>
          <w:rFonts w:hint="eastAsia"/>
          <w:sz w:val="22"/>
          <w:szCs w:val="22"/>
          <w:lang w:val="en-US" w:eastAsia="zh-CN"/>
        </w:rPr>
        <w:t>For the content of recovery beam information, target can send both CSI-RS index and SSB index to the source to do further optimization in this case.</w:t>
      </w:r>
    </w:p>
    <w:p>
      <w:pPr>
        <w:rPr>
          <w:rFonts w:hint="default"/>
          <w:lang w:val="en-US" w:eastAsia="zh-CN"/>
        </w:rPr>
      </w:pPr>
    </w:p>
    <w:p>
      <w:pPr>
        <w:pStyle w:val="2"/>
        <w:rPr>
          <w:rFonts w:hint="default"/>
          <w:b/>
          <w:bCs/>
          <w:sz w:val="24"/>
          <w:szCs w:val="24"/>
          <w:lang w:val="en-US"/>
        </w:rPr>
      </w:pPr>
      <w:r>
        <w:rPr>
          <w:rFonts w:hint="eastAsia"/>
          <w:b/>
          <w:bCs/>
          <w:sz w:val="24"/>
          <w:szCs w:val="24"/>
          <w:lang w:val="en-US" w:eastAsia="zh-CN"/>
        </w:rPr>
        <w:t>Proposal 1: The target</w:t>
      </w:r>
      <w:bookmarkStart w:id="3" w:name="_GoBack"/>
      <w:bookmarkEnd w:id="3"/>
      <w:r>
        <w:rPr>
          <w:rFonts w:hint="eastAsia"/>
          <w:b/>
          <w:bCs/>
          <w:sz w:val="24"/>
          <w:szCs w:val="24"/>
          <w:lang w:val="en-US" w:eastAsia="zh-CN"/>
        </w:rPr>
        <w:t xml:space="preserve"> gNB can send both CSI-RS index and SSB index to the source gNB to do further optimization in the case of BFR shortly after successful LTM cell switch</w:t>
      </w:r>
      <w:r>
        <w:rPr>
          <w:rFonts w:hint="eastAsia" w:cs="Times New Roman" w:eastAsiaTheme="minorEastAsia"/>
          <w:b/>
          <w:bCs/>
          <w:sz w:val="24"/>
          <w:szCs w:val="24"/>
          <w:lang w:val="en-US" w:eastAsia="zh-CN" w:bidi="ar-SA"/>
        </w:rPr>
        <w:t>.</w:t>
      </w:r>
    </w:p>
    <w:p>
      <w:pPr>
        <w:pStyle w:val="2"/>
        <w:rPr>
          <w:rFonts w:hint="eastAsia" w:cs="Calibri"/>
          <w:sz w:val="28"/>
          <w:szCs w:val="28"/>
          <w:u w:val="none"/>
          <w:lang w:val="en-US" w:eastAsia="zh-CN"/>
        </w:rPr>
      </w:pPr>
    </w:p>
    <w:p>
      <w:pPr>
        <w:pStyle w:val="2"/>
        <w:rPr>
          <w:rFonts w:hint="default" w:eastAsiaTheme="minorEastAsia"/>
          <w:lang w:val="en-US" w:eastAsia="zh-CN"/>
        </w:rPr>
      </w:pPr>
      <w:r>
        <w:rPr>
          <w:rFonts w:hint="eastAsia" w:cs="Calibri"/>
          <w:sz w:val="28"/>
          <w:szCs w:val="28"/>
          <w:u w:val="none"/>
          <w:lang w:val="en-US" w:eastAsia="zh-CN"/>
        </w:rPr>
        <w:t xml:space="preserve">2.1.2  LTM </w:t>
      </w:r>
      <w:r>
        <w:rPr>
          <w:rFonts w:cs="Calibri"/>
          <w:sz w:val="28"/>
          <w:szCs w:val="28"/>
          <w:u w:val="none"/>
          <w:lang w:eastAsia="en-US"/>
        </w:rPr>
        <w:t>failure due to wrong beam</w:t>
      </w:r>
      <w:r>
        <w:rPr>
          <w:rFonts w:hint="eastAsia" w:eastAsia="宋体" w:cs="Calibri"/>
          <w:sz w:val="28"/>
          <w:szCs w:val="28"/>
          <w:u w:val="none"/>
          <w:lang w:val="en-US" w:eastAsia="zh-CN"/>
        </w:rPr>
        <w:t xml:space="preserve"> and invalid TA</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spacing w:line="276" w:lineRule="auto"/>
              <w:ind w:left="144" w:hanging="144"/>
              <w:rPr>
                <w:rFonts w:cs="Calibri"/>
                <w:lang w:eastAsia="en-US"/>
              </w:rPr>
            </w:pPr>
            <w:r>
              <w:rPr>
                <w:rFonts w:cs="Calibri"/>
                <w:b/>
                <w:color w:val="008000"/>
                <w:lang w:eastAsia="en-US"/>
              </w:rPr>
              <w:t>The target gNB indicates the re-established/recovery beam and Source gNB UE XnAP ID to source gNB.</w:t>
            </w:r>
          </w:p>
          <w:p>
            <w:pPr>
              <w:widowControl w:val="0"/>
              <w:spacing w:line="276" w:lineRule="auto"/>
              <w:ind w:left="144" w:hanging="144"/>
              <w:rPr>
                <w:rFonts w:cs="Calibri"/>
                <w:b/>
                <w:color w:val="0000FF"/>
                <w:lang w:eastAsia="en-US"/>
              </w:rPr>
            </w:pPr>
            <w:r>
              <w:rPr>
                <w:rFonts w:cs="Calibri"/>
                <w:b/>
                <w:color w:val="0000FF"/>
                <w:lang w:eastAsia="en-US"/>
              </w:rPr>
              <w:t>The beam ID format is FFS.</w:t>
            </w:r>
          </w:p>
          <w:p>
            <w:pPr>
              <w:widowControl w:val="0"/>
              <w:spacing w:line="276" w:lineRule="auto"/>
              <w:ind w:left="144" w:hanging="144"/>
              <w:rPr>
                <w:rFonts w:cs="Calibri"/>
                <w:b/>
                <w:color w:val="0000FF"/>
                <w:lang w:eastAsia="en-US"/>
              </w:rPr>
            </w:pPr>
            <w:r>
              <w:rPr>
                <w:rFonts w:cs="Calibri"/>
                <w:b/>
                <w:color w:val="0000FF"/>
                <w:lang w:eastAsia="en-US"/>
              </w:rPr>
              <w:t>ACCESS AND MOBILITY INDICATION or FAILURE INDICATION?</w:t>
            </w:r>
          </w:p>
          <w:p>
            <w:pPr>
              <w:widowControl w:val="0"/>
              <w:spacing w:line="276" w:lineRule="auto"/>
              <w:ind w:left="144" w:hanging="144"/>
              <w:rPr>
                <w:rFonts w:cs="Calibri"/>
                <w:b/>
                <w:color w:val="0000FF"/>
                <w:lang w:eastAsia="en-US"/>
              </w:rPr>
            </w:pPr>
            <w:r>
              <w:rPr>
                <w:rFonts w:cs="Calibri"/>
                <w:b/>
                <w:color w:val="0000FF"/>
                <w:lang w:eastAsia="en-US"/>
              </w:rPr>
              <w:t>Impact of L1 or L3-triggered LTM?</w:t>
            </w:r>
          </w:p>
          <w:p>
            <w:pPr>
              <w:widowControl w:val="0"/>
              <w:spacing w:line="276" w:lineRule="auto"/>
              <w:ind w:left="144" w:hanging="144"/>
              <w:rPr>
                <w:rFonts w:cs="Calibri"/>
                <w:lang w:eastAsia="en-US"/>
              </w:rPr>
            </w:pPr>
            <w:r>
              <w:rPr>
                <w:rFonts w:cs="Calibri"/>
                <w:b/>
                <w:color w:val="008000"/>
                <w:lang w:eastAsia="en-US"/>
              </w:rPr>
              <w:t>Target gNB sends the TA value used at successful RACH-based access to source gNB.</w:t>
            </w:r>
          </w:p>
          <w:p>
            <w:pPr>
              <w:widowControl w:val="0"/>
              <w:spacing w:line="276" w:lineRule="auto"/>
              <w:ind w:left="144" w:hanging="144"/>
              <w:rPr>
                <w:rFonts w:cs="Calibri"/>
                <w:b/>
                <w:color w:val="0000FF"/>
                <w:lang w:eastAsia="en-US"/>
              </w:rPr>
            </w:pPr>
            <w:r>
              <w:rPr>
                <w:rFonts w:cs="Calibri"/>
                <w:b/>
                <w:color w:val="0000FF"/>
                <w:lang w:eastAsia="en-US"/>
              </w:rPr>
              <w:t>ACCESS AND MOBILITY INDICATION or FAILURE INDICATION?</w:t>
            </w:r>
          </w:p>
          <w:p>
            <w:pPr>
              <w:widowControl w:val="0"/>
              <w:spacing w:line="276" w:lineRule="auto"/>
              <w:ind w:left="144" w:hanging="144"/>
              <w:rPr>
                <w:rFonts w:hint="default"/>
                <w:vertAlign w:val="baseline"/>
                <w:lang w:val="en-US" w:eastAsia="zh-CN"/>
              </w:rPr>
            </w:pPr>
            <w:r>
              <w:rPr>
                <w:rFonts w:cs="Calibri"/>
                <w:b/>
                <w:color w:val="0000FF"/>
                <w:lang w:eastAsia="en-US"/>
              </w:rPr>
              <w:t>Impact of L1 or L3-triggered LTM?</w:t>
            </w:r>
          </w:p>
        </w:tc>
      </w:tr>
    </w:tbl>
    <w:p>
      <w:pPr>
        <w:pStyle w:val="2"/>
        <w:rPr>
          <w:lang w:eastAsia="en-US"/>
        </w:rPr>
      </w:pPr>
    </w:p>
    <w:p>
      <w:pPr>
        <w:pStyle w:val="2"/>
        <w:rPr>
          <w:rFonts w:hint="eastAsia" w:eastAsia="等线"/>
          <w:b w:val="0"/>
          <w:bCs w:val="0"/>
          <w:sz w:val="24"/>
          <w:szCs w:val="24"/>
          <w:lang w:val="en-US" w:eastAsia="zh-CN"/>
        </w:rPr>
      </w:pPr>
      <w:r>
        <w:rPr>
          <w:rFonts w:hint="eastAsia" w:eastAsia="等线"/>
          <w:b w:val="0"/>
          <w:bCs w:val="0"/>
          <w:sz w:val="24"/>
          <w:szCs w:val="24"/>
          <w:lang w:val="en-US" w:eastAsia="zh-CN"/>
        </w:rPr>
        <w:t xml:space="preserve">The agreements from the last meeting listed above. </w:t>
      </w:r>
    </w:p>
    <w:p>
      <w:pPr>
        <w:pStyle w:val="2"/>
        <w:rPr>
          <w:rFonts w:hint="default"/>
          <w:lang w:val="en-US" w:eastAsia="zh-CN"/>
        </w:rPr>
      </w:pPr>
      <w:r>
        <w:rPr>
          <w:rFonts w:hint="eastAsia" w:eastAsia="等线"/>
          <w:b w:val="0"/>
          <w:bCs w:val="0"/>
          <w:sz w:val="24"/>
          <w:szCs w:val="24"/>
          <w:lang w:val="en-US" w:eastAsia="zh-CN"/>
        </w:rPr>
        <w:t>Similar, recovery beam information can be indicated by the target to souce gNB via Access and Mobility Indication procedure over Xn.</w:t>
      </w:r>
    </w:p>
    <w:p>
      <w:pPr>
        <w:pStyle w:val="2"/>
        <w:rPr>
          <w:rFonts w:hint="default"/>
          <w:b/>
          <w:bCs/>
          <w:sz w:val="24"/>
          <w:szCs w:val="24"/>
          <w:lang w:val="en-US"/>
        </w:rPr>
      </w:pPr>
      <w:r>
        <w:rPr>
          <w:rFonts w:hint="eastAsia"/>
          <w:b/>
          <w:bCs/>
          <w:sz w:val="24"/>
          <w:szCs w:val="24"/>
          <w:lang w:val="en-US" w:eastAsia="zh-CN"/>
        </w:rPr>
        <w:t>Proposal 2: The target gNB can send both CSI-RS index and SSB index to the source gNB via Access and Mobility Indication procedure to do further optimization in the case of LTM failure due to wrong beam</w:t>
      </w:r>
      <w:r>
        <w:rPr>
          <w:rFonts w:hint="eastAsia" w:cs="Times New Roman" w:eastAsiaTheme="minorEastAsia"/>
          <w:b/>
          <w:bCs/>
          <w:sz w:val="24"/>
          <w:szCs w:val="24"/>
          <w:lang w:val="en-US" w:eastAsia="zh-CN" w:bidi="ar-SA"/>
        </w:rPr>
        <w:t>.</w:t>
      </w:r>
    </w:p>
    <w:p>
      <w:pPr>
        <w:pStyle w:val="2"/>
        <w:rPr>
          <w:rFonts w:hint="default"/>
          <w:lang w:val="en-US" w:eastAsia="zh-CN"/>
        </w:rPr>
      </w:pPr>
    </w:p>
    <w:p>
      <w:pPr>
        <w:pStyle w:val="2"/>
        <w:rPr>
          <w:rFonts w:hint="default" w:eastAsiaTheme="minorEastAsia"/>
          <w:lang w:val="en-US" w:eastAsia="zh-CN"/>
        </w:rPr>
      </w:pPr>
      <w:r>
        <w:rPr>
          <w:rFonts w:hint="eastAsia" w:cs="Calibri"/>
          <w:sz w:val="28"/>
          <w:szCs w:val="28"/>
          <w:u w:val="none"/>
          <w:lang w:val="en-US" w:eastAsia="zh-CN"/>
        </w:rPr>
        <w:t>2.1.3  ping-pong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spacing w:line="276" w:lineRule="auto"/>
              <w:ind w:left="144" w:hanging="144"/>
              <w:rPr>
                <w:rFonts w:cs="Calibri"/>
                <w:lang w:eastAsia="en-US"/>
              </w:rPr>
            </w:pPr>
            <w:r>
              <w:rPr>
                <w:rFonts w:cs="Calibri"/>
                <w:b/>
                <w:color w:val="008000"/>
                <w:lang w:eastAsia="en-US"/>
              </w:rPr>
              <w:t>Include an LTM cell switch indicator in the legacy NGAP Visited Cells IE.</w:t>
            </w:r>
          </w:p>
          <w:p>
            <w:pPr>
              <w:widowControl w:val="0"/>
              <w:spacing w:line="276" w:lineRule="auto"/>
              <w:ind w:left="144" w:hanging="144"/>
              <w:rPr>
                <w:rFonts w:cs="Calibri"/>
                <w:b/>
                <w:color w:val="008000"/>
                <w:vertAlign w:val="baseline"/>
                <w:lang w:eastAsia="en-US"/>
              </w:rPr>
            </w:pPr>
            <w:r>
              <w:rPr>
                <w:rFonts w:cs="Calibri"/>
                <w:b/>
                <w:color w:val="0000FF"/>
                <w:lang w:eastAsia="en-US"/>
              </w:rPr>
              <w:t>FFS if this indicator needs to differentiate L1 and L3-triggered LTM.</w:t>
            </w:r>
          </w:p>
        </w:tc>
      </w:tr>
    </w:tbl>
    <w:p>
      <w:pPr>
        <w:pStyle w:val="2"/>
        <w:rPr>
          <w:rFonts w:cs="Calibri"/>
          <w:b/>
          <w:color w:val="008000"/>
          <w:lang w:eastAsia="en-US"/>
        </w:rPr>
      </w:pPr>
    </w:p>
    <w:p>
      <w:pPr>
        <w:rPr>
          <w:sz w:val="24"/>
          <w:szCs w:val="24"/>
        </w:rPr>
      </w:pPr>
      <w:r>
        <w:rPr>
          <w:sz w:val="24"/>
          <w:szCs w:val="24"/>
        </w:rPr>
        <w:t>In addition to this, we need to also enable the transfer of last visited cells over Xn for the subsequent case. We would like to differentiate between two cases</w:t>
      </w:r>
    </w:p>
    <w:p>
      <w:pPr>
        <w:pStyle w:val="53"/>
        <w:rPr>
          <w:sz w:val="24"/>
          <w:szCs w:val="24"/>
        </w:rPr>
      </w:pPr>
      <w:r>
        <w:rPr>
          <w:sz w:val="24"/>
          <w:szCs w:val="24"/>
        </w:rPr>
        <w:t>-</w:t>
      </w:r>
      <w:r>
        <w:rPr>
          <w:sz w:val="24"/>
          <w:szCs w:val="24"/>
        </w:rPr>
        <w:tab/>
      </w:r>
      <w:r>
        <w:rPr>
          <w:sz w:val="24"/>
          <w:szCs w:val="24"/>
        </w:rPr>
        <w:t xml:space="preserve">Information to target cell: This is to enable candidate cells to adjust the thresholds for cell switch on order to avoid e.g. ping pong. </w:t>
      </w:r>
    </w:p>
    <w:p>
      <w:pPr>
        <w:pStyle w:val="53"/>
        <w:rPr>
          <w:sz w:val="24"/>
          <w:szCs w:val="24"/>
        </w:rPr>
      </w:pPr>
      <w:r>
        <w:rPr>
          <w:sz w:val="24"/>
          <w:szCs w:val="24"/>
        </w:rPr>
        <w:t>-</w:t>
      </w:r>
      <w:r>
        <w:rPr>
          <w:sz w:val="24"/>
          <w:szCs w:val="24"/>
        </w:rPr>
        <w:tab/>
      </w:r>
      <w:r>
        <w:rPr>
          <w:sz w:val="24"/>
          <w:szCs w:val="24"/>
        </w:rPr>
        <w:t>Information to the initiating node: This is to enable the initiating node to optimise the candidate cell selection, and also to determine whether it was beneficial to use subsequent or if normal LTM cell switch could have been enough.</w:t>
      </w:r>
    </w:p>
    <w:p>
      <w:pPr>
        <w:pStyle w:val="53"/>
        <w:ind w:left="0" w:leftChars="0" w:firstLine="0" w:firstLineChars="0"/>
        <w:rPr>
          <w:rFonts w:hint="eastAsia"/>
          <w:sz w:val="24"/>
          <w:szCs w:val="24"/>
          <w:lang w:val="en-US" w:eastAsia="zh-CN"/>
        </w:rPr>
      </w:pPr>
      <w:r>
        <w:rPr>
          <w:rFonts w:hint="eastAsia"/>
          <w:sz w:val="24"/>
          <w:szCs w:val="24"/>
          <w:lang w:val="en-US" w:eastAsia="zh-CN"/>
        </w:rPr>
        <w:t>The UHI information shoule be forwarded from source CU to target CU for the subsequent case reusing</w:t>
      </w:r>
      <w:r>
        <w:rPr>
          <w:sz w:val="24"/>
          <w:szCs w:val="24"/>
        </w:rPr>
        <w:t xml:space="preserve"> the CELL SWITCH NOTIFICATION message</w:t>
      </w:r>
      <w:r>
        <w:rPr>
          <w:rFonts w:hint="eastAsia"/>
          <w:sz w:val="24"/>
          <w:szCs w:val="24"/>
          <w:lang w:val="en-US" w:eastAsia="zh-CN"/>
        </w:rPr>
        <w:t>.</w:t>
      </w:r>
    </w:p>
    <w:p>
      <w:pPr>
        <w:pStyle w:val="2"/>
        <w:rPr>
          <w:rFonts w:hint="eastAsia" w:cs="Times New Roman" w:eastAsiaTheme="minorEastAsia"/>
          <w:b/>
          <w:bCs/>
          <w:sz w:val="24"/>
          <w:szCs w:val="24"/>
          <w:lang w:val="en-US" w:eastAsia="zh-CN" w:bidi="ar-SA"/>
        </w:rPr>
      </w:pPr>
      <w:r>
        <w:rPr>
          <w:rFonts w:hint="eastAsia"/>
          <w:b/>
          <w:bCs/>
          <w:sz w:val="24"/>
          <w:szCs w:val="24"/>
          <w:lang w:val="en-US" w:eastAsia="zh-CN"/>
        </w:rPr>
        <w:t>Proposal 3: The source gNB can send UHI information to the target gNB via CELL SWITCH NOTIFICATION message to avoid ping-pong</w:t>
      </w:r>
      <w:r>
        <w:rPr>
          <w:rFonts w:hint="eastAsia" w:cs="Times New Roman" w:eastAsiaTheme="minorEastAsia"/>
          <w:b/>
          <w:bCs/>
          <w:sz w:val="24"/>
          <w:szCs w:val="24"/>
          <w:lang w:val="en-US" w:eastAsia="zh-CN" w:bidi="ar-SA"/>
        </w:rPr>
        <w:t>.</w:t>
      </w:r>
    </w:p>
    <w:p>
      <w:pPr>
        <w:rPr>
          <w:rFonts w:hint="eastAsia" w:cs="Times New Roman" w:eastAsiaTheme="minorEastAsia"/>
          <w:b/>
          <w:bCs/>
          <w:sz w:val="24"/>
          <w:szCs w:val="24"/>
          <w:lang w:val="en-US" w:eastAsia="zh-CN" w:bidi="ar-SA"/>
        </w:rPr>
      </w:pPr>
    </w:p>
    <w:p>
      <w:pPr>
        <w:pStyle w:val="2"/>
        <w:rPr>
          <w:rFonts w:hint="eastAsia" w:cs="Times New Roman" w:eastAsiaTheme="minorEastAsia"/>
          <w:b/>
          <w:bCs/>
          <w:sz w:val="24"/>
          <w:szCs w:val="24"/>
          <w:lang w:val="en-US" w:eastAsia="zh-CN" w:bidi="ar-SA"/>
        </w:rPr>
      </w:pPr>
    </w:p>
    <w:p>
      <w:pPr>
        <w:rPr>
          <w:rFonts w:hint="default"/>
          <w:sz w:val="24"/>
          <w:szCs w:val="24"/>
          <w:lang w:val="en-US" w:eastAsia="zh-CN"/>
        </w:rPr>
      </w:pPr>
      <w:r>
        <w:rPr>
          <w:rFonts w:hint="eastAsia"/>
          <w:sz w:val="24"/>
          <w:szCs w:val="24"/>
          <w:lang w:val="en-US" w:eastAsia="zh-CN"/>
        </w:rPr>
        <w:t>When ping-ping issue detected by the target CU based on the received UHI and local UHI,ther is no need to add a ping-pong indicator over Xn.</w:t>
      </w:r>
    </w:p>
    <w:p>
      <w:pPr>
        <w:pStyle w:val="2"/>
        <w:rPr>
          <w:rFonts w:hint="eastAsia" w:cs="Times New Roman" w:eastAsiaTheme="minorEastAsia"/>
          <w:b/>
          <w:bCs/>
          <w:sz w:val="24"/>
          <w:szCs w:val="24"/>
          <w:lang w:val="en-US" w:eastAsia="zh-CN" w:bidi="ar-SA"/>
        </w:rPr>
      </w:pPr>
      <w:r>
        <w:rPr>
          <w:rFonts w:hint="eastAsia"/>
          <w:b/>
          <w:bCs/>
          <w:sz w:val="24"/>
          <w:szCs w:val="24"/>
          <w:lang w:val="en-US" w:eastAsia="zh-CN"/>
        </w:rPr>
        <w:t>Proposal 4: No need to introduce ping-pong indicator over Xn</w:t>
      </w:r>
      <w:r>
        <w:rPr>
          <w:rFonts w:hint="eastAsia" w:cs="Times New Roman" w:eastAsiaTheme="minorEastAsia"/>
          <w:b/>
          <w:bCs/>
          <w:sz w:val="24"/>
          <w:szCs w:val="24"/>
          <w:lang w:val="en-US" w:eastAsia="zh-CN" w:bidi="ar-SA"/>
        </w:rPr>
        <w:t>.</w:t>
      </w:r>
    </w:p>
    <w:p>
      <w:pPr>
        <w:rPr>
          <w:rFonts w:hint="eastAsia"/>
          <w:lang w:val="en-US" w:eastAsia="zh-CN"/>
        </w:rPr>
      </w:pPr>
    </w:p>
    <w:p>
      <w:pPr>
        <w:spacing w:after="0"/>
        <w:jc w:val="both"/>
        <w:rPr>
          <w:lang w:eastAsia="zh-CN"/>
        </w:rPr>
      </w:pPr>
    </w:p>
    <w:p>
      <w:pPr>
        <w:pStyle w:val="3"/>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pStyle w:val="2"/>
        <w:rPr>
          <w:rFonts w:hint="default"/>
          <w:b/>
          <w:bCs/>
          <w:sz w:val="24"/>
          <w:szCs w:val="24"/>
          <w:lang w:val="en-US"/>
        </w:rPr>
      </w:pPr>
      <w:r>
        <w:rPr>
          <w:rFonts w:hint="eastAsia"/>
          <w:b/>
          <w:bCs/>
          <w:sz w:val="24"/>
          <w:szCs w:val="24"/>
          <w:lang w:val="en-US" w:eastAsia="zh-CN"/>
        </w:rPr>
        <w:t>Proposal 1: The target gNB can send both CSI-RS index and SSB index to the source gNB to do further optimization in the case of BFR shortly after successful LTM cell switch</w:t>
      </w:r>
      <w:r>
        <w:rPr>
          <w:rFonts w:hint="eastAsia" w:cs="Times New Roman" w:eastAsiaTheme="minorEastAsia"/>
          <w:b/>
          <w:bCs/>
          <w:sz w:val="24"/>
          <w:szCs w:val="24"/>
          <w:lang w:val="en-US" w:eastAsia="zh-CN" w:bidi="ar-SA"/>
        </w:rPr>
        <w:t>.</w:t>
      </w:r>
    </w:p>
    <w:p>
      <w:pPr>
        <w:pStyle w:val="2"/>
        <w:rPr>
          <w:rFonts w:hint="default"/>
          <w:b/>
          <w:bCs/>
          <w:sz w:val="24"/>
          <w:szCs w:val="24"/>
          <w:lang w:val="en-US"/>
        </w:rPr>
      </w:pPr>
      <w:r>
        <w:rPr>
          <w:rFonts w:hint="eastAsia"/>
          <w:b/>
          <w:bCs/>
          <w:sz w:val="24"/>
          <w:szCs w:val="24"/>
          <w:lang w:val="en-US" w:eastAsia="zh-CN"/>
        </w:rPr>
        <w:t>Proposal 2: The target gNB can send both CSI-RS index and SSB index to the source gNB via Access and Mobility Indication procedure to do further optimization in the case of LTM failure due to wrong beam</w:t>
      </w:r>
      <w:r>
        <w:rPr>
          <w:rFonts w:hint="eastAsia" w:cs="Times New Roman" w:eastAsiaTheme="minorEastAsia"/>
          <w:b/>
          <w:bCs/>
          <w:sz w:val="24"/>
          <w:szCs w:val="24"/>
          <w:lang w:val="en-US" w:eastAsia="zh-CN" w:bidi="ar-SA"/>
        </w:rPr>
        <w:t>.</w:t>
      </w:r>
    </w:p>
    <w:p>
      <w:pPr>
        <w:pStyle w:val="2"/>
        <w:rPr>
          <w:rFonts w:hint="eastAsia" w:cs="Times New Roman" w:eastAsiaTheme="minorEastAsia"/>
          <w:b/>
          <w:bCs/>
          <w:sz w:val="24"/>
          <w:szCs w:val="24"/>
          <w:lang w:val="en-US" w:eastAsia="zh-CN" w:bidi="ar-SA"/>
        </w:rPr>
      </w:pPr>
      <w:r>
        <w:rPr>
          <w:rFonts w:hint="eastAsia"/>
          <w:b/>
          <w:bCs/>
          <w:sz w:val="24"/>
          <w:szCs w:val="24"/>
          <w:lang w:val="en-US" w:eastAsia="zh-CN"/>
        </w:rPr>
        <w:t>Proposal 3: The source gNB can send UHI information to the target gNB via CELL SWITCH NOTIFICATION message to avoid ping-pong</w:t>
      </w:r>
      <w:r>
        <w:rPr>
          <w:rFonts w:hint="eastAsia" w:cs="Times New Roman" w:eastAsiaTheme="minorEastAsia"/>
          <w:b/>
          <w:bCs/>
          <w:sz w:val="24"/>
          <w:szCs w:val="24"/>
          <w:lang w:val="en-US" w:eastAsia="zh-CN" w:bidi="ar-SA"/>
        </w:rPr>
        <w:t>.</w:t>
      </w:r>
    </w:p>
    <w:p>
      <w:pPr>
        <w:pStyle w:val="2"/>
        <w:rPr>
          <w:rFonts w:hint="eastAsia" w:cs="Times New Roman" w:eastAsiaTheme="minorEastAsia"/>
          <w:b/>
          <w:bCs/>
          <w:sz w:val="24"/>
          <w:szCs w:val="24"/>
          <w:lang w:val="en-US" w:eastAsia="zh-CN" w:bidi="ar-SA"/>
        </w:rPr>
      </w:pPr>
      <w:r>
        <w:rPr>
          <w:rFonts w:hint="eastAsia"/>
          <w:b/>
          <w:bCs/>
          <w:sz w:val="24"/>
          <w:szCs w:val="24"/>
          <w:lang w:val="en-US" w:eastAsia="zh-CN"/>
        </w:rPr>
        <w:t>Proposal 4: No need to introduce ping-pong indicator over Xn</w:t>
      </w:r>
      <w:r>
        <w:rPr>
          <w:rFonts w:hint="eastAsia" w:cs="Times New Roman" w:eastAsiaTheme="minorEastAsia"/>
          <w:b/>
          <w:bCs/>
          <w:sz w:val="24"/>
          <w:szCs w:val="24"/>
          <w:lang w:val="en-US" w:eastAsia="zh-CN" w:bidi="ar-SA"/>
        </w:rPr>
        <w:t>.</w:t>
      </w:r>
    </w:p>
    <w:p>
      <w:pPr>
        <w:rPr>
          <w:rFonts w:hint="eastAsia" w:eastAsia="等线"/>
          <w:b/>
          <w:bCs/>
          <w:sz w:val="22"/>
          <w:szCs w:val="22"/>
          <w:lang w:val="en-US" w:eastAsia="zh-CN"/>
        </w:rPr>
      </w:pPr>
    </w:p>
    <w:p>
      <w:pPr>
        <w:spacing w:before="240" w:beforeLines="100" w:after="240"/>
        <w:rPr>
          <w:rFonts w:eastAsia="宋体"/>
          <w:b/>
          <w:lang w:eastAsia="zh-CN"/>
        </w:rPr>
      </w:pPr>
    </w:p>
    <w:p>
      <w:pPr>
        <w:pStyle w:val="3"/>
      </w:pPr>
      <w:r>
        <w:t>4   References</w:t>
      </w:r>
    </w:p>
    <w:p>
      <w:pPr>
        <w:pStyle w:val="73"/>
        <w:widowControl w:val="0"/>
        <w:numPr>
          <w:ilvl w:val="0"/>
          <w:numId w:val="5"/>
        </w:numPr>
        <w:autoSpaceDE w:val="0"/>
        <w:autoSpaceDN w:val="0"/>
        <w:adjustRightInd w:val="0"/>
        <w:spacing w:after="0" w:line="360" w:lineRule="auto"/>
        <w:contextualSpacing w:val="0"/>
        <w:rPr>
          <w:lang w:val="en-US" w:eastAsia="zh-CN"/>
        </w:rPr>
      </w:pPr>
      <w:r>
        <w:rPr>
          <w:lang w:eastAsia="zh-CN"/>
        </w:rPr>
        <w:t>RP-2</w:t>
      </w:r>
      <w:r>
        <w:rPr>
          <w:rFonts w:hint="eastAsia"/>
          <w:lang w:val="en-US" w:eastAsia="zh-CN"/>
        </w:rPr>
        <w:t>3</w:t>
      </w:r>
      <w:r>
        <w:rPr>
          <w:lang w:val="en-US" w:eastAsia="zh-CN"/>
        </w:rPr>
        <w:t xml:space="preserve">4038: </w:t>
      </w:r>
      <w:r>
        <w:rPr>
          <w:rFonts w:hint="eastAsia"/>
          <w:lang w:val="en-US" w:eastAsia="zh-CN"/>
        </w:rPr>
        <w:t>Revised WID: Data collection for SON (Self-Organising Networks)/MDT (Minimization of Drive Tests) in NR Phase 5</w:t>
      </w:r>
      <w:r>
        <w:rPr>
          <w:lang w:val="en-US" w:eastAsia="zh-CN"/>
        </w:rPr>
        <w:t>; TSG RAN Meeting #10</w:t>
      </w:r>
      <w:r>
        <w:rPr>
          <w:rFonts w:hint="eastAsia"/>
          <w:lang w:val="en-US" w:eastAsia="zh-CN"/>
        </w:rPr>
        <w:t>9</w:t>
      </w:r>
      <w:r>
        <w:rPr>
          <w:lang w:val="en-US" w:eastAsia="zh-CN"/>
        </w:rPr>
        <w:t xml:space="preserve">, </w:t>
      </w:r>
      <w:r>
        <w:rPr>
          <w:rFonts w:hint="eastAsia"/>
          <w:lang w:val="en-US" w:eastAsia="zh-CN"/>
        </w:rPr>
        <w:t>Beijing, China</w:t>
      </w:r>
      <w:r>
        <w:rPr>
          <w:lang w:val="en-US" w:eastAsia="zh-CN"/>
        </w:rPr>
        <w:t>,</w:t>
      </w:r>
      <w:r>
        <w:t xml:space="preserve"> </w:t>
      </w:r>
      <w:r>
        <w:rPr>
          <w:rFonts w:hint="eastAsia"/>
          <w:lang w:val="en-US" w:eastAsia="zh-CN"/>
        </w:rPr>
        <w:t>Sep</w:t>
      </w:r>
      <w:r>
        <w:rPr>
          <w:lang w:val="en-US" w:eastAsia="zh-CN"/>
        </w:rPr>
        <w:t xml:space="preserve"> 1</w:t>
      </w:r>
      <w:r>
        <w:rPr>
          <w:rFonts w:hint="eastAsia"/>
          <w:lang w:val="en-US" w:eastAsia="zh-CN"/>
        </w:rPr>
        <w:t>5</w:t>
      </w:r>
      <w:r>
        <w:rPr>
          <w:lang w:val="en-US" w:eastAsia="zh-CN"/>
        </w:rPr>
        <w:t>-1</w:t>
      </w:r>
      <w:r>
        <w:rPr>
          <w:rFonts w:hint="eastAsia"/>
          <w:lang w:val="en-US" w:eastAsia="zh-CN"/>
        </w:rPr>
        <w:t>8</w:t>
      </w:r>
      <w:r>
        <w:rPr>
          <w:lang w:val="en-US" w:eastAsia="zh-CN"/>
        </w:rPr>
        <w:t>, 202</w:t>
      </w:r>
      <w:r>
        <w:rPr>
          <w:rFonts w:hint="eastAsia"/>
          <w:lang w:val="en-US" w:eastAsia="zh-CN"/>
        </w:rPr>
        <w:t>5</w:t>
      </w:r>
    </w:p>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91"/>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84"/>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2F4B6D"/>
    <w:rsid w:val="01417008"/>
    <w:rsid w:val="02DB5880"/>
    <w:rsid w:val="033961E4"/>
    <w:rsid w:val="03425F66"/>
    <w:rsid w:val="04C95396"/>
    <w:rsid w:val="059D0A04"/>
    <w:rsid w:val="06034816"/>
    <w:rsid w:val="06343D3A"/>
    <w:rsid w:val="0747198E"/>
    <w:rsid w:val="079072D0"/>
    <w:rsid w:val="083F3E39"/>
    <w:rsid w:val="08454C77"/>
    <w:rsid w:val="08B72D4B"/>
    <w:rsid w:val="0921460E"/>
    <w:rsid w:val="09A24CDB"/>
    <w:rsid w:val="09E35FBD"/>
    <w:rsid w:val="09F80663"/>
    <w:rsid w:val="0AA048AC"/>
    <w:rsid w:val="0AF94C1A"/>
    <w:rsid w:val="0C672BD3"/>
    <w:rsid w:val="0CD26045"/>
    <w:rsid w:val="0E724F12"/>
    <w:rsid w:val="0F4A2AF6"/>
    <w:rsid w:val="0F545BF0"/>
    <w:rsid w:val="0FBB2283"/>
    <w:rsid w:val="0FD61908"/>
    <w:rsid w:val="10F65EF6"/>
    <w:rsid w:val="118229E2"/>
    <w:rsid w:val="120C6310"/>
    <w:rsid w:val="12D33B16"/>
    <w:rsid w:val="14D45BDA"/>
    <w:rsid w:val="163B5AC6"/>
    <w:rsid w:val="18680694"/>
    <w:rsid w:val="19436BAF"/>
    <w:rsid w:val="1B5F4A6D"/>
    <w:rsid w:val="1C6E3996"/>
    <w:rsid w:val="1CFF51A9"/>
    <w:rsid w:val="1D093E8E"/>
    <w:rsid w:val="1D9D1C14"/>
    <w:rsid w:val="1DEF3CAD"/>
    <w:rsid w:val="1E0E6FDF"/>
    <w:rsid w:val="1E37416A"/>
    <w:rsid w:val="1E7A730A"/>
    <w:rsid w:val="1F457054"/>
    <w:rsid w:val="1F8B2051"/>
    <w:rsid w:val="2044198C"/>
    <w:rsid w:val="206E0E34"/>
    <w:rsid w:val="20762ED5"/>
    <w:rsid w:val="207E4B10"/>
    <w:rsid w:val="20CD4DF2"/>
    <w:rsid w:val="20F90D91"/>
    <w:rsid w:val="21885F91"/>
    <w:rsid w:val="2294325D"/>
    <w:rsid w:val="22CB4428"/>
    <w:rsid w:val="230332E7"/>
    <w:rsid w:val="239C7BFA"/>
    <w:rsid w:val="241D724F"/>
    <w:rsid w:val="24BA1A4C"/>
    <w:rsid w:val="2573337B"/>
    <w:rsid w:val="258A1B50"/>
    <w:rsid w:val="26781317"/>
    <w:rsid w:val="27B91DCD"/>
    <w:rsid w:val="27F65011"/>
    <w:rsid w:val="28B873D0"/>
    <w:rsid w:val="28DD71F9"/>
    <w:rsid w:val="29B22406"/>
    <w:rsid w:val="2A332049"/>
    <w:rsid w:val="2A8932B0"/>
    <w:rsid w:val="2AC56CA8"/>
    <w:rsid w:val="2B6D7ACB"/>
    <w:rsid w:val="2C523826"/>
    <w:rsid w:val="2C7E592F"/>
    <w:rsid w:val="2D8B7035"/>
    <w:rsid w:val="2FF07BC8"/>
    <w:rsid w:val="30315AB0"/>
    <w:rsid w:val="3122543A"/>
    <w:rsid w:val="32204723"/>
    <w:rsid w:val="33511F0D"/>
    <w:rsid w:val="335A38EA"/>
    <w:rsid w:val="33EF0B17"/>
    <w:rsid w:val="34233C15"/>
    <w:rsid w:val="35AC3967"/>
    <w:rsid w:val="35E368FD"/>
    <w:rsid w:val="3665586F"/>
    <w:rsid w:val="382B160E"/>
    <w:rsid w:val="39FC7F63"/>
    <w:rsid w:val="3A510DE7"/>
    <w:rsid w:val="3B1C15B4"/>
    <w:rsid w:val="3B7522D1"/>
    <w:rsid w:val="3CC94D80"/>
    <w:rsid w:val="3DD3167A"/>
    <w:rsid w:val="3E04574F"/>
    <w:rsid w:val="3E902592"/>
    <w:rsid w:val="3EBF38CA"/>
    <w:rsid w:val="3EFA6A59"/>
    <w:rsid w:val="3F102102"/>
    <w:rsid w:val="40ED17D5"/>
    <w:rsid w:val="41133AB4"/>
    <w:rsid w:val="41B23B2A"/>
    <w:rsid w:val="425659E6"/>
    <w:rsid w:val="42681DC2"/>
    <w:rsid w:val="429B4810"/>
    <w:rsid w:val="439A14F5"/>
    <w:rsid w:val="43AF1E2E"/>
    <w:rsid w:val="454B01DC"/>
    <w:rsid w:val="454D18FA"/>
    <w:rsid w:val="466F7668"/>
    <w:rsid w:val="46A76650"/>
    <w:rsid w:val="4B2F5149"/>
    <w:rsid w:val="4B4177FD"/>
    <w:rsid w:val="4C6946B6"/>
    <w:rsid w:val="4C7401D0"/>
    <w:rsid w:val="4D077EEE"/>
    <w:rsid w:val="4DF7551A"/>
    <w:rsid w:val="4E631DD7"/>
    <w:rsid w:val="4E635F87"/>
    <w:rsid w:val="4EE12FB5"/>
    <w:rsid w:val="4EEB36F7"/>
    <w:rsid w:val="4FAE5593"/>
    <w:rsid w:val="506A7F16"/>
    <w:rsid w:val="50791A93"/>
    <w:rsid w:val="51C61026"/>
    <w:rsid w:val="52C32C09"/>
    <w:rsid w:val="53063320"/>
    <w:rsid w:val="53B04A4B"/>
    <w:rsid w:val="55403862"/>
    <w:rsid w:val="56057C64"/>
    <w:rsid w:val="56444AC6"/>
    <w:rsid w:val="567B29ED"/>
    <w:rsid w:val="573F71C2"/>
    <w:rsid w:val="57407B4B"/>
    <w:rsid w:val="57D30DCD"/>
    <w:rsid w:val="57F24B59"/>
    <w:rsid w:val="59D8186C"/>
    <w:rsid w:val="5A713592"/>
    <w:rsid w:val="5AD325FC"/>
    <w:rsid w:val="5C9B2EC8"/>
    <w:rsid w:val="5CBF7B5D"/>
    <w:rsid w:val="5D99669E"/>
    <w:rsid w:val="5DEB4069"/>
    <w:rsid w:val="5DF47CB1"/>
    <w:rsid w:val="607F29C9"/>
    <w:rsid w:val="614A0049"/>
    <w:rsid w:val="63114608"/>
    <w:rsid w:val="633140F4"/>
    <w:rsid w:val="640D40B4"/>
    <w:rsid w:val="642B6952"/>
    <w:rsid w:val="648E266A"/>
    <w:rsid w:val="649B678A"/>
    <w:rsid w:val="64C322D9"/>
    <w:rsid w:val="6694268C"/>
    <w:rsid w:val="681B58B5"/>
    <w:rsid w:val="6821710D"/>
    <w:rsid w:val="68E378EE"/>
    <w:rsid w:val="691A7AFE"/>
    <w:rsid w:val="6A7B5019"/>
    <w:rsid w:val="6BEC00A0"/>
    <w:rsid w:val="6D1F4A0B"/>
    <w:rsid w:val="6D7D559C"/>
    <w:rsid w:val="6E4377B3"/>
    <w:rsid w:val="6E8B01B0"/>
    <w:rsid w:val="6ECB7D31"/>
    <w:rsid w:val="6F686D97"/>
    <w:rsid w:val="6FDC338C"/>
    <w:rsid w:val="707B5B04"/>
    <w:rsid w:val="71657AF4"/>
    <w:rsid w:val="7232223C"/>
    <w:rsid w:val="72394C9A"/>
    <w:rsid w:val="724D7F55"/>
    <w:rsid w:val="74144EAD"/>
    <w:rsid w:val="742B5F4A"/>
    <w:rsid w:val="74BE1A94"/>
    <w:rsid w:val="77097545"/>
    <w:rsid w:val="772A053C"/>
    <w:rsid w:val="77585FE5"/>
    <w:rsid w:val="77C656C3"/>
    <w:rsid w:val="77F178AE"/>
    <w:rsid w:val="7833619E"/>
    <w:rsid w:val="785C0605"/>
    <w:rsid w:val="78870EA7"/>
    <w:rsid w:val="78D40685"/>
    <w:rsid w:val="7905736E"/>
    <w:rsid w:val="790836EE"/>
    <w:rsid w:val="791252B1"/>
    <w:rsid w:val="7A5614FA"/>
    <w:rsid w:val="7B735DDB"/>
    <w:rsid w:val="7BED3FC3"/>
    <w:rsid w:val="7C8D5A29"/>
    <w:rsid w:val="7D442761"/>
    <w:rsid w:val="7D7C001B"/>
    <w:rsid w:val="7DA237BE"/>
    <w:rsid w:val="7E15791D"/>
    <w:rsid w:val="7E5D1D5E"/>
    <w:rsid w:val="7FA855FD"/>
    <w:rsid w:val="7FE35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annotation text"/>
    <w:basedOn w:val="1"/>
    <w:link w:val="88"/>
    <w:qFormat/>
    <w:uiPriority w:val="0"/>
  </w:style>
  <w:style w:type="paragraph" w:styleId="24">
    <w:name w:val="toc 8"/>
    <w:basedOn w:val="22"/>
    <w:next w:val="1"/>
    <w:semiHidden/>
    <w:qFormat/>
    <w:uiPriority w:val="0"/>
    <w:pPr>
      <w:spacing w:before="180"/>
      <w:ind w:left="2693" w:hanging="2693"/>
    </w:pPr>
    <w:rPr>
      <w:b/>
    </w:rPr>
  </w:style>
  <w:style w:type="paragraph" w:styleId="25">
    <w:name w:val="Balloon Text"/>
    <w:basedOn w:val="1"/>
    <w:link w:val="74"/>
    <w:semiHidden/>
    <w:unhideWhenUsed/>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link w:val="7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0">
    <w:name w:val="annotation subject"/>
    <w:basedOn w:val="23"/>
    <w:next w:val="23"/>
    <w:link w:val="89"/>
    <w:semiHidden/>
    <w:unhideWhenUsed/>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B3"/>
    <w:basedOn w:val="13"/>
    <w:qFormat/>
    <w:uiPriority w:val="0"/>
    <w:pPr>
      <w:ind w:left="1135" w:hanging="284"/>
    </w:p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3"/>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5"/>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4">
    <w:name w:val="B2"/>
    <w:basedOn w:val="14"/>
    <w:qFormat/>
    <w:uiPriority w:val="0"/>
    <w:pPr>
      <w:ind w:left="851"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7"/>
    <w:qFormat/>
    <w:uiPriority w:val="0"/>
    <w:pPr>
      <w:framePr w:hRule="auto" w:y="852"/>
    </w:pPr>
    <w:rPr>
      <w:i w:val="0"/>
      <w:sz w:val="40"/>
    </w:rPr>
  </w:style>
  <w:style w:type="paragraph" w:customStyle="1" w:styleId="68">
    <w:name w:val="ZV"/>
    <w:basedOn w:val="59"/>
    <w:qFormat/>
    <w:uiPriority w:val="0"/>
    <w:pPr>
      <w:framePr w:y="16161"/>
    </w:pPr>
  </w:style>
  <w:style w:type="paragraph" w:customStyle="1" w:styleId="69">
    <w:name w:val="TAJ"/>
    <w:basedOn w:val="55"/>
    <w:qFormat/>
    <w:uiPriority w:val="0"/>
  </w:style>
  <w:style w:type="paragraph" w:customStyle="1" w:styleId="70">
    <w:name w:val="Guidance"/>
    <w:basedOn w:val="1"/>
    <w:qFormat/>
    <w:uiPriority w:val="0"/>
    <w:rPr>
      <w:i/>
      <w:color w:val="0000FF"/>
    </w:rPr>
  </w:style>
  <w:style w:type="character" w:customStyle="1" w:styleId="71">
    <w:name w:val="页眉 字符"/>
    <w:link w:val="27"/>
    <w:qFormat/>
    <w:uiPriority w:val="0"/>
    <w:rPr>
      <w:rFonts w:ascii="Arial" w:hAnsi="Arial"/>
      <w:b/>
      <w:sz w:val="18"/>
      <w:lang w:val="en-GB" w:eastAsia="ja-JP" w:bidi="ar-SA"/>
    </w:rPr>
  </w:style>
  <w:style w:type="paragraph" w:customStyle="1" w:styleId="72">
    <w:name w:val="CR Cover Page"/>
    <w:link w:val="77"/>
    <w:qFormat/>
    <w:uiPriority w:val="0"/>
    <w:pPr>
      <w:spacing w:after="120"/>
    </w:pPr>
    <w:rPr>
      <w:rFonts w:ascii="Arial" w:hAnsi="Arial" w:eastAsia="MS Mincho" w:cs="Times New Roman"/>
      <w:lang w:val="en-GB" w:eastAsia="en-US" w:bidi="ar-SA"/>
    </w:rPr>
  </w:style>
  <w:style w:type="paragraph" w:styleId="73">
    <w:name w:val="List Paragraph"/>
    <w:basedOn w:val="1"/>
    <w:link w:val="79"/>
    <w:qFormat/>
    <w:uiPriority w:val="99"/>
    <w:pPr>
      <w:ind w:left="720"/>
      <w:contextualSpacing/>
    </w:pPr>
  </w:style>
  <w:style w:type="character" w:customStyle="1" w:styleId="74">
    <w:name w:val="批注框文本 字符"/>
    <w:link w:val="25"/>
    <w:semiHidden/>
    <w:qFormat/>
    <w:uiPriority w:val="0"/>
    <w:rPr>
      <w:rFonts w:ascii="Segoe UI" w:hAnsi="Segoe UI" w:cs="Segoe UI"/>
      <w:sz w:val="18"/>
      <w:szCs w:val="18"/>
      <w:lang w:eastAsia="en-US"/>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lang w:eastAsia="ko-KR"/>
    </w:rPr>
  </w:style>
  <w:style w:type="character" w:customStyle="1" w:styleId="76">
    <w:name w:val="main text Char"/>
    <w:link w:val="75"/>
    <w:qFormat/>
    <w:uiPriority w:val="0"/>
    <w:rPr>
      <w:rFonts w:eastAsia="Malgun Gothic" w:cs="Batang"/>
      <w:lang w:val="en-GB" w:eastAsia="ko-KR"/>
    </w:rPr>
  </w:style>
  <w:style w:type="character" w:customStyle="1" w:styleId="77">
    <w:name w:val="CR Cover Page Zchn"/>
    <w:link w:val="72"/>
    <w:qFormat/>
    <w:uiPriority w:val="0"/>
    <w:rPr>
      <w:rFonts w:ascii="Arial" w:hAnsi="Arial" w:eastAsia="MS Mincho"/>
      <w:lang w:val="en-GB"/>
    </w:rPr>
  </w:style>
  <w:style w:type="paragraph" w:customStyle="1" w:styleId="78">
    <w:name w:val="DocInfo"/>
    <w:basedOn w:val="1"/>
    <w:qFormat/>
    <w:uiPriority w:val="0"/>
    <w:pPr>
      <w:tabs>
        <w:tab w:val="left" w:pos="2160"/>
      </w:tabs>
      <w:spacing w:before="120" w:after="120"/>
    </w:pPr>
    <w:rPr>
      <w:rFonts w:eastAsia="宋体"/>
      <w:sz w:val="28"/>
      <w:szCs w:val="28"/>
    </w:rPr>
  </w:style>
  <w:style w:type="character" w:customStyle="1" w:styleId="79">
    <w:name w:val="列出段落 字符"/>
    <w:link w:val="73"/>
    <w:qFormat/>
    <w:locked/>
    <w:uiPriority w:val="99"/>
    <w:rPr>
      <w:lang w:val="en-GB"/>
    </w:rPr>
  </w:style>
  <w:style w:type="paragraph" w:customStyle="1" w:styleId="80">
    <w:name w:val="Doc-title"/>
    <w:basedOn w:val="1"/>
    <w:next w:val="81"/>
    <w:link w:val="83"/>
    <w:qFormat/>
    <w:uiPriority w:val="0"/>
    <w:pPr>
      <w:spacing w:before="60" w:after="0"/>
      <w:ind w:left="1259" w:hanging="1259"/>
    </w:pPr>
    <w:rPr>
      <w:rFonts w:ascii="Arial" w:hAnsi="Arial" w:eastAsia="MS Mincho"/>
      <w:szCs w:val="24"/>
      <w:lang w:eastAsia="en-GB"/>
    </w:rPr>
  </w:style>
  <w:style w:type="paragraph" w:customStyle="1" w:styleId="81">
    <w:name w:val="Doc-text2"/>
    <w:basedOn w:val="1"/>
    <w:link w:val="82"/>
    <w:qFormat/>
    <w:uiPriority w:val="0"/>
    <w:pPr>
      <w:tabs>
        <w:tab w:val="left" w:pos="1622"/>
      </w:tabs>
      <w:spacing w:after="0"/>
      <w:ind w:left="1622" w:hanging="363"/>
    </w:pPr>
    <w:rPr>
      <w:rFonts w:ascii="Arial" w:hAnsi="Arial" w:eastAsia="MS Mincho"/>
      <w:szCs w:val="24"/>
      <w:lang w:eastAsia="en-GB"/>
    </w:rPr>
  </w:style>
  <w:style w:type="character" w:customStyle="1" w:styleId="82">
    <w:name w:val="Doc-text2 Char"/>
    <w:link w:val="81"/>
    <w:qFormat/>
    <w:uiPriority w:val="0"/>
    <w:rPr>
      <w:rFonts w:ascii="Arial" w:hAnsi="Arial" w:eastAsia="MS Mincho"/>
      <w:szCs w:val="24"/>
      <w:lang w:val="en-GB" w:eastAsia="en-GB"/>
    </w:rPr>
  </w:style>
  <w:style w:type="character" w:customStyle="1" w:styleId="83">
    <w:name w:val="Doc-title Char"/>
    <w:link w:val="80"/>
    <w:qFormat/>
    <w:uiPriority w:val="0"/>
    <w:rPr>
      <w:rFonts w:ascii="Arial" w:hAnsi="Arial" w:eastAsia="MS Mincho"/>
      <w:szCs w:val="24"/>
      <w:lang w:val="en-GB" w:eastAsia="en-GB"/>
    </w:rPr>
  </w:style>
  <w:style w:type="paragraph" w:customStyle="1" w:styleId="84">
    <w:name w:val="Agreement"/>
    <w:basedOn w:val="1"/>
    <w:next w:val="81"/>
    <w:qFormat/>
    <w:uiPriority w:val="0"/>
    <w:pPr>
      <w:numPr>
        <w:ilvl w:val="0"/>
        <w:numId w:val="1"/>
      </w:numPr>
      <w:spacing w:before="60" w:after="0"/>
    </w:pPr>
    <w:rPr>
      <w:rFonts w:ascii="Arial" w:hAnsi="Arial" w:eastAsia="MS Mincho"/>
      <w:b/>
      <w:szCs w:val="24"/>
      <w:lang w:eastAsia="en-GB"/>
    </w:rPr>
  </w:style>
  <w:style w:type="paragraph" w:customStyle="1" w:styleId="85">
    <w:name w:val="EmailDiscussion"/>
    <w:basedOn w:val="1"/>
    <w:next w:val="86"/>
    <w:link w:val="87"/>
    <w:qFormat/>
    <w:uiPriority w:val="0"/>
    <w:pPr>
      <w:numPr>
        <w:ilvl w:val="0"/>
        <w:numId w:val="2"/>
      </w:numPr>
      <w:spacing w:before="40" w:after="0"/>
    </w:pPr>
    <w:rPr>
      <w:rFonts w:ascii="Arial" w:hAnsi="Arial" w:eastAsia="MS Mincho"/>
      <w:b/>
      <w:szCs w:val="24"/>
      <w:lang w:eastAsia="en-GB"/>
    </w:rPr>
  </w:style>
  <w:style w:type="paragraph" w:customStyle="1" w:styleId="86">
    <w:name w:val="EmailDiscussion2"/>
    <w:basedOn w:val="81"/>
    <w:qFormat/>
    <w:uiPriority w:val="0"/>
  </w:style>
  <w:style w:type="character" w:customStyle="1" w:styleId="87">
    <w:name w:val="EmailDiscussion Char"/>
    <w:link w:val="85"/>
    <w:qFormat/>
    <w:uiPriority w:val="0"/>
    <w:rPr>
      <w:rFonts w:ascii="Arial" w:hAnsi="Arial" w:eastAsia="MS Mincho"/>
      <w:b/>
      <w:szCs w:val="24"/>
      <w:lang w:val="en-GB" w:eastAsia="en-GB"/>
    </w:rPr>
  </w:style>
  <w:style w:type="character" w:customStyle="1" w:styleId="88">
    <w:name w:val="批注文字 字符"/>
    <w:basedOn w:val="33"/>
    <w:link w:val="23"/>
    <w:qFormat/>
    <w:uiPriority w:val="0"/>
    <w:rPr>
      <w:lang w:val="en-GB" w:eastAsia="en-US"/>
    </w:rPr>
  </w:style>
  <w:style w:type="character" w:customStyle="1" w:styleId="89">
    <w:name w:val="批注主题 字符"/>
    <w:basedOn w:val="88"/>
    <w:link w:val="30"/>
    <w:semiHidden/>
    <w:qFormat/>
    <w:uiPriority w:val="0"/>
    <w:rPr>
      <w:b/>
      <w:bCs/>
      <w:lang w:val="en-GB" w:eastAsia="en-US"/>
    </w:rPr>
  </w:style>
  <w:style w:type="paragraph" w:customStyle="1" w:styleId="90">
    <w:name w:val="3GPP_Header"/>
    <w:basedOn w:val="1"/>
    <w:qFormat/>
    <w:uiPriority w:val="0"/>
    <w:pPr>
      <w:tabs>
        <w:tab w:val="left" w:pos="1701"/>
        <w:tab w:val="right" w:pos="9639"/>
      </w:tabs>
      <w:spacing w:after="240"/>
    </w:pPr>
    <w:rPr>
      <w:b/>
      <w:sz w:val="24"/>
    </w:rPr>
  </w:style>
  <w:style w:type="paragraph" w:customStyle="1" w:styleId="91">
    <w:name w:val="Proposal"/>
    <w:basedOn w:val="2"/>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94">
    <w:name w:val="LSHeader"/>
    <w:qFormat/>
    <w:uiPriority w:val="0"/>
    <w:pPr>
      <w:tabs>
        <w:tab w:val="right" w:pos="9781"/>
      </w:tabs>
      <w:spacing w:before="0" w:after="0" w:line="240" w:lineRule="auto"/>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8600D-6A7D-4901-B2AE-FB61E9D43D2E}">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91E2603E-40F4-448A-9800-D3537A860EDC}">
  <ds:schemaRefs/>
</ds:datastoreItem>
</file>

<file path=customXml/itemProps5.xml><?xml version="1.0" encoding="utf-8"?>
<ds:datastoreItem xmlns:ds="http://schemas.openxmlformats.org/officeDocument/2006/customXml" ds:itemID="{958C969A-B179-44C9-9E61-F8CF0A81168B}">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1</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author</cp:lastModifiedBy>
  <dcterms:modified xsi:type="dcterms:W3CDTF">2026-01-30T02:52:21Z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